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22686" cy="7945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686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spacing w:line="259" w:lineRule="auto" w:before="92"/>
        <w:ind w:left="100" w:right="59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CIRCULAR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INFORMATIVA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SOBRE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CUOTAS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ABONAR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POR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OPERADORES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PARA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INSCRIPCIÓN/CERTIFICACIÓN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CAMPAÑA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2022-2023.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BodyText"/>
        <w:spacing w:line="264" w:lineRule="auto" w:before="98"/>
        <w:ind w:left="100" w:right="593"/>
        <w:jc w:val="both"/>
      </w:pPr>
      <w:r>
        <w:rPr/>
        <w:t>Reunida la Comisión Permanente del Consejo Regulador DOP Pimentón de Murcia, el 30 de mayo de 2022,</w:t>
      </w:r>
      <w:r>
        <w:rPr>
          <w:spacing w:val="-45"/>
        </w:rPr>
        <w:t> </w:t>
      </w:r>
      <w:r>
        <w:rPr/>
        <w:t>por delegación del Pleno del Consejo, se aprueba por unanimidad, de acuerdo a las facultades establecidas</w:t>
      </w:r>
      <w:r>
        <w:rPr>
          <w:spacing w:val="1"/>
        </w:rPr>
        <w:t> </w:t>
      </w:r>
      <w:r>
        <w:rPr/>
        <w:t>en el artículo 12.5, 40 y concordantes del Reglamento del Consejo, los siguientes plazos y cuotas para la</w:t>
      </w:r>
      <w:r>
        <w:rPr>
          <w:spacing w:val="1"/>
        </w:rPr>
        <w:t> </w:t>
      </w:r>
      <w:r>
        <w:rPr/>
        <w:t>campaña</w:t>
      </w:r>
      <w:r>
        <w:rPr>
          <w:spacing w:val="-1"/>
        </w:rPr>
        <w:t> </w:t>
      </w:r>
      <w:r>
        <w:rPr/>
        <w:t>2022-2023.</w:t>
      </w:r>
    </w:p>
    <w:p>
      <w:pPr>
        <w:pStyle w:val="BodyText"/>
        <w:spacing w:before="6"/>
      </w:pPr>
    </w:p>
    <w:p>
      <w:pPr>
        <w:pStyle w:val="Heading2"/>
        <w:jc w:val="both"/>
      </w:pPr>
      <w:r>
        <w:rPr/>
        <w:t>I.-</w:t>
      </w:r>
      <w:r>
        <w:rPr>
          <w:spacing w:val="-1"/>
        </w:rPr>
        <w:t> </w:t>
      </w:r>
      <w:r>
        <w:rPr/>
        <w:t>PLAZOS, CUOTAS</w:t>
      </w:r>
      <w:r>
        <w:rPr>
          <w:spacing w:val="-1"/>
        </w:rPr>
        <w:t> </w:t>
      </w:r>
      <w:r>
        <w:rPr/>
        <w:t>Y FORMA</w:t>
      </w:r>
      <w:r>
        <w:rPr>
          <w:spacing w:val="-4"/>
        </w:rPr>
        <w:t> </w:t>
      </w:r>
      <w:r>
        <w:rPr/>
        <w:t>DE 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u w:val="single"/>
        </w:rPr>
        <w:t>INSCRIPCIÓN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REGISTROS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DOP:</w:t>
      </w:r>
    </w:p>
    <w:p>
      <w:pPr>
        <w:spacing w:before="177"/>
        <w:ind w:left="95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Productores/secaderos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sol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(anual):</w:t>
      </w:r>
    </w:p>
    <w:p>
      <w:pPr>
        <w:pStyle w:val="BodyText"/>
        <w:spacing w:before="1"/>
        <w:rPr>
          <w:rFonts w:ascii="Arial"/>
          <w:b/>
          <w:sz w:val="16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3544"/>
        <w:gridCol w:w="1181"/>
      </w:tblGrid>
      <w:tr>
        <w:trPr>
          <w:trHeight w:val="412" w:hRule="atLeast"/>
        </w:trPr>
        <w:tc>
          <w:tcPr>
            <w:tcW w:w="3829" w:type="dxa"/>
          </w:tcPr>
          <w:p>
            <w:pPr>
              <w:pStyle w:val="TableParagraph"/>
              <w:spacing w:before="97"/>
              <w:ind w:left="993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INSCRIPCIÓN</w:t>
            </w:r>
          </w:p>
        </w:tc>
        <w:tc>
          <w:tcPr>
            <w:tcW w:w="3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line="201" w:lineRule="exact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CUOTA</w:t>
            </w:r>
          </w:p>
          <w:p>
            <w:pPr>
              <w:pStyle w:val="TableParagraph"/>
              <w:spacing w:line="192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(ANUAL)</w:t>
            </w:r>
          </w:p>
        </w:tc>
      </w:tr>
      <w:tr>
        <w:trPr>
          <w:trHeight w:val="390" w:hRule="atLeast"/>
        </w:trPr>
        <w:tc>
          <w:tcPr>
            <w:tcW w:w="3829" w:type="dxa"/>
            <w:vMerge w:val="restart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42" w:lineRule="auto"/>
              <w:ind w:left="1562" w:right="448" w:hanging="10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0066FF"/>
                <w:sz w:val="18"/>
              </w:rPr>
              <w:t>DEL 30</w:t>
            </w:r>
            <w:r>
              <w:rPr>
                <w:rFonts w:ascii="Microsoft Sans Serif"/>
                <w:color w:val="0066FF"/>
                <w:spacing w:val="1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DE</w:t>
            </w:r>
            <w:r>
              <w:rPr>
                <w:rFonts w:ascii="Microsoft Sans Serif"/>
                <w:color w:val="0066FF"/>
                <w:spacing w:val="1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MAYO AL</w:t>
            </w:r>
            <w:r>
              <w:rPr>
                <w:rFonts w:ascii="Microsoft Sans Serif"/>
                <w:color w:val="0066FF"/>
                <w:spacing w:val="3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20</w:t>
            </w:r>
            <w:r>
              <w:rPr>
                <w:rFonts w:ascii="Microsoft Sans Serif"/>
                <w:color w:val="0066FF"/>
                <w:spacing w:val="2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DE</w:t>
            </w:r>
            <w:r>
              <w:rPr>
                <w:rFonts w:ascii="Microsoft Sans Serif"/>
                <w:color w:val="0066FF"/>
                <w:spacing w:val="1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JUNIO</w:t>
            </w:r>
            <w:r>
              <w:rPr>
                <w:rFonts w:ascii="Microsoft Sans Serif"/>
                <w:color w:val="0066FF"/>
                <w:spacing w:val="-45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(13:00H)</w:t>
            </w:r>
          </w:p>
        </w:tc>
        <w:tc>
          <w:tcPr>
            <w:tcW w:w="3544" w:type="dxa"/>
          </w:tcPr>
          <w:p>
            <w:pPr>
              <w:pStyle w:val="TableParagraph"/>
              <w:spacing w:before="87"/>
              <w:ind w:left="751" w:right="8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PRODUCTORES</w:t>
            </w:r>
          </w:p>
        </w:tc>
        <w:tc>
          <w:tcPr>
            <w:tcW w:w="1181" w:type="dxa"/>
          </w:tcPr>
          <w:p>
            <w:pPr>
              <w:pStyle w:val="TableParagraph"/>
              <w:spacing w:before="95"/>
              <w:ind w:left="31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150€</w:t>
            </w:r>
          </w:p>
        </w:tc>
      </w:tr>
      <w:tr>
        <w:trPr>
          <w:trHeight w:val="381" w:hRule="atLeast"/>
        </w:trPr>
        <w:tc>
          <w:tcPr>
            <w:tcW w:w="3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before="80"/>
              <w:ind w:left="751" w:right="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SECADEROS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SOL</w:t>
            </w:r>
          </w:p>
        </w:tc>
        <w:tc>
          <w:tcPr>
            <w:tcW w:w="1181" w:type="dxa"/>
          </w:tcPr>
          <w:p>
            <w:pPr>
              <w:pStyle w:val="TableParagraph"/>
              <w:spacing w:before="88"/>
              <w:ind w:left="31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300€</w:t>
            </w:r>
          </w:p>
        </w:tc>
      </w:tr>
    </w:tbl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spacing w:before="1"/>
        <w:ind w:left="950"/>
      </w:pPr>
      <w:r>
        <w:rPr/>
        <w:t>Industriales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elaboradores</w:t>
      </w:r>
      <w:r>
        <w:rPr>
          <w:spacing w:val="-2"/>
        </w:rPr>
        <w:t> </w:t>
      </w:r>
      <w:r>
        <w:rPr/>
        <w:t>(bianual):</w:t>
      </w:r>
    </w:p>
    <w:p>
      <w:pPr>
        <w:pStyle w:val="BodyText"/>
        <w:spacing w:before="1"/>
        <w:rPr>
          <w:rFonts w:ascii="Arial"/>
          <w:b/>
          <w:sz w:val="16"/>
        </w:rPr>
      </w:pPr>
    </w:p>
    <w:tbl>
      <w:tblPr>
        <w:tblW w:w="0" w:type="auto"/>
        <w:jc w:val="left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3645"/>
        <w:gridCol w:w="1146"/>
      </w:tblGrid>
      <w:tr>
        <w:trPr>
          <w:trHeight w:val="412" w:hRule="atLeast"/>
        </w:trPr>
        <w:tc>
          <w:tcPr>
            <w:tcW w:w="3817" w:type="dxa"/>
          </w:tcPr>
          <w:p>
            <w:pPr>
              <w:pStyle w:val="TableParagraph"/>
              <w:spacing w:before="97"/>
              <w:ind w:left="952"/>
              <w:rPr>
                <w:b/>
                <w:sz w:val="18"/>
              </w:rPr>
            </w:pPr>
            <w:r>
              <w:rPr>
                <w:b/>
                <w:sz w:val="18"/>
              </w:rPr>
              <w:t>PLAZO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INSCRIPCIÓN</w:t>
            </w:r>
            <w:r>
              <w:rPr>
                <w:b/>
                <w:color w:val="FF0000"/>
                <w:sz w:val="18"/>
                <w:vertAlign w:val="superscript"/>
              </w:rPr>
              <w:t>1</w:t>
            </w:r>
          </w:p>
        </w:tc>
        <w:tc>
          <w:tcPr>
            <w:tcW w:w="36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spacing w:line="201" w:lineRule="exact"/>
              <w:ind w:left="84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CUOTA</w:t>
            </w:r>
          </w:p>
          <w:p>
            <w:pPr>
              <w:pStyle w:val="TableParagraph"/>
              <w:spacing w:line="192" w:lineRule="exact"/>
              <w:ind w:left="8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(BIANUAL)</w:t>
            </w:r>
          </w:p>
        </w:tc>
      </w:tr>
      <w:tr>
        <w:trPr>
          <w:trHeight w:val="518" w:hRule="atLeast"/>
        </w:trPr>
        <w:tc>
          <w:tcPr>
            <w:tcW w:w="381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 w:before="127"/>
              <w:ind w:left="1554" w:right="444" w:hanging="1095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color w:val="0066FF"/>
                <w:sz w:val="18"/>
              </w:rPr>
              <w:t>DEL 30</w:t>
            </w:r>
            <w:r>
              <w:rPr>
                <w:rFonts w:ascii="Microsoft Sans Serif"/>
                <w:color w:val="0066FF"/>
                <w:spacing w:val="1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DE</w:t>
            </w:r>
            <w:r>
              <w:rPr>
                <w:rFonts w:ascii="Microsoft Sans Serif"/>
                <w:color w:val="0066FF"/>
                <w:spacing w:val="1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MAYO AL</w:t>
            </w:r>
            <w:r>
              <w:rPr>
                <w:rFonts w:ascii="Microsoft Sans Serif"/>
                <w:color w:val="0066FF"/>
                <w:spacing w:val="3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20</w:t>
            </w:r>
            <w:r>
              <w:rPr>
                <w:rFonts w:ascii="Microsoft Sans Serif"/>
                <w:color w:val="0066FF"/>
                <w:spacing w:val="2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DE</w:t>
            </w:r>
            <w:r>
              <w:rPr>
                <w:rFonts w:ascii="Microsoft Sans Serif"/>
                <w:color w:val="0066FF"/>
                <w:spacing w:val="1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JUNIO</w:t>
            </w:r>
            <w:r>
              <w:rPr>
                <w:rFonts w:ascii="Microsoft Sans Serif"/>
                <w:color w:val="0066FF"/>
                <w:spacing w:val="-45"/>
                <w:sz w:val="18"/>
              </w:rPr>
              <w:t> </w:t>
            </w:r>
            <w:r>
              <w:rPr>
                <w:rFonts w:ascii="Microsoft Sans Serif"/>
                <w:color w:val="0066FF"/>
                <w:sz w:val="18"/>
              </w:rPr>
              <w:t>(13:00H)</w:t>
            </w:r>
          </w:p>
        </w:tc>
        <w:tc>
          <w:tcPr>
            <w:tcW w:w="3645" w:type="dxa"/>
          </w:tcPr>
          <w:p>
            <w:pPr>
              <w:pStyle w:val="TableParagraph"/>
              <w:spacing w:before="47"/>
              <w:ind w:left="160" w:right="153" w:firstLine="614"/>
              <w:rPr>
                <w:b/>
                <w:sz w:val="18"/>
              </w:rPr>
            </w:pPr>
            <w:r>
              <w:rPr>
                <w:b/>
                <w:sz w:val="18"/>
              </w:rPr>
              <w:t>SECADEROS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AIRE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ALMACENES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COMERCIALIZACIÓN</w:t>
            </w:r>
          </w:p>
        </w:tc>
        <w:tc>
          <w:tcPr>
            <w:tcW w:w="1146" w:type="dxa"/>
          </w:tcPr>
          <w:p>
            <w:pPr>
              <w:pStyle w:val="TableParagraph"/>
              <w:spacing w:before="158"/>
              <w:ind w:right="28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2.000€</w:t>
            </w:r>
          </w:p>
        </w:tc>
      </w:tr>
      <w:tr>
        <w:trPr>
          <w:trHeight w:val="597" w:hRule="atLeast"/>
        </w:trPr>
        <w:tc>
          <w:tcPr>
            <w:tcW w:w="3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</w:tcPr>
          <w:p>
            <w:pPr>
              <w:pStyle w:val="TableParagraph"/>
              <w:spacing w:before="85"/>
              <w:ind w:left="1120" w:right="112" w:hanging="1002"/>
              <w:rPr>
                <w:b/>
                <w:sz w:val="18"/>
              </w:rPr>
            </w:pPr>
            <w:r>
              <w:rPr>
                <w:b/>
                <w:sz w:val="18"/>
              </w:rPr>
              <w:t>MOLINOS,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MOLINOS-ENVASADORES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ENVASADORAS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right="28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4.000€</w:t>
            </w:r>
          </w:p>
        </w:tc>
      </w:tr>
    </w:tbl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24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Forma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pago:</w:t>
      </w:r>
    </w:p>
    <w:p>
      <w:pPr>
        <w:pStyle w:val="BodyText"/>
        <w:spacing w:line="261" w:lineRule="auto" w:before="24"/>
        <w:ind w:left="100" w:right="601" w:firstLine="141"/>
        <w:jc w:val="both"/>
      </w:pPr>
      <w:r>
        <w:rPr>
          <w:u w:val="single"/>
        </w:rPr>
        <w:t>-Cuotas de inscripción anuales</w:t>
      </w:r>
      <w:r>
        <w:rPr/>
        <w:t>: Ingreso en C/C de la DOP tras comprobar que los documentos que</w:t>
      </w:r>
      <w:r>
        <w:rPr>
          <w:spacing w:val="1"/>
        </w:rPr>
        <w:t> </w:t>
      </w:r>
      <w:r>
        <w:rPr/>
        <w:t>acompañan a la solicitud son inicialmente adecuados y antes de la realización de la visita de auditoría. Y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antes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>
          <w:u w:val="single"/>
        </w:rPr>
        <w:t>20</w:t>
      </w:r>
      <w:r>
        <w:rPr>
          <w:spacing w:val="3"/>
          <w:u w:val="single"/>
        </w:rPr>
        <w:t> </w:t>
      </w:r>
      <w:r>
        <w:rPr>
          <w:u w:val="single"/>
        </w:rPr>
        <w:t>de junio </w:t>
      </w:r>
      <w:r>
        <w:rPr/>
        <w:t>de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3"/>
        </w:rPr>
        <w:t> </w:t>
      </w:r>
      <w:r>
        <w:rPr/>
        <w:t>13:00h.</w:t>
      </w:r>
    </w:p>
    <w:p>
      <w:pPr>
        <w:pStyle w:val="BodyText"/>
        <w:spacing w:line="261" w:lineRule="auto" w:before="164"/>
        <w:ind w:left="100" w:right="594" w:firstLine="141"/>
        <w:jc w:val="both"/>
      </w:pPr>
      <w:r>
        <w:rPr>
          <w:u w:val="single"/>
        </w:rPr>
        <w:t>-Cuotas de inscripción bianuales</w:t>
      </w:r>
      <w:r>
        <w:rPr/>
        <w:t>: Opción de pago de la cuota completa o posibilidad de pago fraccionado.</w:t>
      </w:r>
      <w:r>
        <w:rPr>
          <w:spacing w:val="1"/>
        </w:rPr>
        <w:t> </w:t>
      </w:r>
      <w:r>
        <w:rPr/>
        <w:t>En cuyo último caso el 50% de la cuota de inscripción se deberá abonar con la solicitud y antes de la</w:t>
      </w:r>
      <w:r>
        <w:rPr>
          <w:spacing w:val="1"/>
        </w:rPr>
        <w:t> </w:t>
      </w:r>
      <w:r>
        <w:rPr/>
        <w:t>realización de la auditoría de inscripción hasta el </w:t>
      </w:r>
      <w:r>
        <w:rPr>
          <w:u w:val="single"/>
        </w:rPr>
        <w:t>20 de junio</w:t>
      </w:r>
      <w:r>
        <w:rPr/>
        <w:t> (13:00 horas) para secaderos de aire y</w:t>
      </w:r>
      <w:r>
        <w:rPr>
          <w:spacing w:val="1"/>
        </w:rPr>
        <w:t> </w:t>
      </w:r>
      <w:r>
        <w:rPr/>
        <w:t>almacenes de comercialización). Y, en todo caso, para las nuevas incorporaciones, antes del inicio de su</w:t>
      </w:r>
      <w:r>
        <w:rPr>
          <w:spacing w:val="1"/>
        </w:rPr>
        <w:t> </w:t>
      </w:r>
      <w:r>
        <w:rPr/>
        <w:t>actividad de la campaña 2022-2023 y siempre previamente a la visita de auditoria de inscripción. Se</w:t>
      </w:r>
      <w:r>
        <w:rPr>
          <w:spacing w:val="1"/>
        </w:rPr>
        <w:t> </w:t>
      </w:r>
      <w:r>
        <w:rPr/>
        <w:t>procurará que la solicitud se realice antes del </w:t>
      </w:r>
      <w:r>
        <w:rPr>
          <w:u w:val="single"/>
        </w:rPr>
        <w:t>20 de junio</w:t>
      </w:r>
      <w:r>
        <w:rPr/>
        <w:t> de 2022, para los molinos y/o envasadoras de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inscripción.</w:t>
      </w:r>
    </w:p>
    <w:p>
      <w:pPr>
        <w:pStyle w:val="BodyText"/>
        <w:spacing w:line="259" w:lineRule="auto" w:before="170"/>
        <w:ind w:left="100" w:right="609" w:firstLine="141"/>
        <w:jc w:val="both"/>
      </w:pPr>
      <w:r>
        <w:rPr/>
        <w:t>El otro 2º plazo (50%) se realizará mediante la entrega de pagaré o similar, en el momento de la solicitud,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 anterior,</w:t>
      </w:r>
      <w:r>
        <w:rPr>
          <w:spacing w:val="-1"/>
        </w:rPr>
        <w:t> </w:t>
      </w:r>
      <w:r>
        <w:rPr/>
        <w:t>con</w:t>
      </w:r>
      <w:r>
        <w:rPr>
          <w:spacing w:val="3"/>
        </w:rPr>
        <w:t> </w:t>
      </w:r>
      <w:r>
        <w:rPr>
          <w:u w:val="single"/>
        </w:rPr>
        <w:t>vencimiento máximo</w:t>
      </w:r>
      <w:r>
        <w:rPr>
          <w:spacing w:val="5"/>
          <w:u w:val="single"/>
        </w:rPr>
        <w:t> </w:t>
      </w:r>
      <w:r>
        <w:rPr>
          <w:u w:val="single"/>
        </w:rPr>
        <w:t>28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junio</w:t>
      </w:r>
      <w:r>
        <w:rPr>
          <w:spacing w:val="2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2023</w:t>
      </w:r>
      <w:r>
        <w:rPr/>
        <w:t>.</w:t>
      </w:r>
    </w:p>
    <w:p>
      <w:pPr>
        <w:spacing w:line="261" w:lineRule="auto" w:before="178"/>
        <w:ind w:left="100" w:right="593" w:firstLine="0"/>
        <w:jc w:val="both"/>
        <w:rPr>
          <w:rFonts w:ascii="Arial" w:hAnsi="Arial"/>
          <w:i/>
          <w:sz w:val="18"/>
        </w:rPr>
      </w:pPr>
      <w:r>
        <w:rPr/>
        <w:drawing>
          <wp:anchor distT="0" distB="0" distL="0" distR="0" allowOverlap="1" layoutInCell="1" locked="0" behindDoc="1" simplePos="0" relativeHeight="487521280">
            <wp:simplePos x="0" y="0"/>
            <wp:positionH relativeFrom="page">
              <wp:posOffset>5349875</wp:posOffset>
            </wp:positionH>
            <wp:positionV relativeFrom="paragraph">
              <wp:posOffset>599743</wp:posOffset>
            </wp:positionV>
            <wp:extent cx="1446158" cy="15341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158" cy="153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4.191742pt;margin-top:57.305603pt;width:77pt;height:76.45pt;mso-position-horizontal-relative:page;mso-position-vertical-relative:paragraph;z-index:-15794688" coordorigin="6084,1146" coordsize="1540,1529" path="m6361,2352l6266,2410,6194,2468,6142,2523,6108,2574,6089,2617,6084,2650,6094,2670,6103,2675,6205,2675,6210,2672,6114,2672,6121,2628,6153,2568,6206,2498,6277,2424,6361,2352xm6742,1146l6712,1167,6696,1214,6690,1268,6689,1306,6690,1341,6693,1378,6698,1417,6705,1458,6712,1499,6721,1542,6731,1585,6742,1627,6738,1651,6726,1691,6708,1745,6682,1809,6652,1883,6616,1964,6576,2050,6533,2138,6488,2226,6440,2312,6391,2394,6342,2470,6293,2536,6245,2592,6198,2635,6154,2662,6114,2672,6210,2672,6226,2663,6272,2625,6323,2570,6380,2496,6443,2403,6512,2289,6526,2284,6512,2284,6573,2176,6623,2081,6664,1997,6697,1924,6723,1861,6743,1805,6759,1757,6771,1714,6825,1714,6818,1698,6791,1623,6802,1543,6771,1543,6753,1474,6740,1408,6734,1345,6731,1289,6732,1265,6736,1225,6745,1184,6764,1156,6803,1156,6782,1148,6742,1146xm7584,2281l7570,2284,7558,2292,7550,2304,7547,2319,7550,2333,7558,2345,7570,2352,7584,2355,7600,2352,7609,2347,7584,2347,7573,2345,7564,2339,7557,2330,7555,2319,7557,2307,7564,2298,7573,2291,7584,2289,7608,2289,7600,2284,7584,2281xm7608,2289l7584,2289,7597,2291,7606,2298,7612,2307,7614,2319,7612,2330,7606,2339,7597,2345,7584,2347,7609,2347,7613,2345,7621,2333,7624,2319,7621,2304,7613,2292,7608,2289xm7595,2294l7570,2294,7570,2339,7578,2339,7578,2322,7598,2322,7597,2320,7592,2319,7602,2316,7578,2316,7578,2303,7601,2303,7600,2300,7595,2294xm7598,2322l7587,2322,7591,2327,7592,2331,7594,2339,7602,2339,7600,2331,7600,2325,7598,2322xm7601,2303l7589,2303,7592,2305,7592,2314,7587,2316,7602,2316,7602,2310,7601,2303xm6825,1714l6771,1714,6818,1818,6868,1903,6918,1971,6967,2024,7014,2064,7056,2095,7092,2117,7023,2130,6951,2145,6878,2162,6804,2182,6730,2204,6656,2228,6583,2255,6512,2284,6526,2284,6583,2266,6659,2244,6738,2225,6819,2207,6902,2191,6985,2177,7068,2165,7150,2156,7268,2156,7243,2145,7310,2141,7390,2140,7591,2140,7551,2118,7492,2106,7174,2106,7137,2085,7101,2063,7066,2039,7032,2015,6979,1964,6931,1905,6888,1841,6850,1771,6825,1714xm7268,2156l7150,2156,7232,2194,7315,2225,7393,2248,7465,2262,7526,2267,7559,2265,7583,2259,7599,2247,7602,2242,7559,2242,7497,2235,7420,2215,7334,2185,7268,2156xm7608,2231l7599,2235,7587,2238,7574,2241,7559,2242,7602,2242,7608,2231xm7591,2140l7390,2140,7472,2144,7545,2155,7596,2178,7614,2214,7619,2203,7624,2198,7624,2187,7604,2147,7591,2140xm7362,2095l7320,2096,7274,2098,7174,2106,7492,2106,7468,2101,7362,2095xm6818,1275l6809,1321,6799,1381,6787,1454,6771,1543,6802,1543,6804,1533,6811,1446,6815,1361,6818,1275xm6803,1156l6764,1156,6781,1166,6797,1183,6810,1209,6818,1246,6824,1188,6811,1159,6803,1156xe" filled="true" fillcolor="#ffd8d8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FF0000"/>
          <w:sz w:val="16"/>
          <w:vertAlign w:val="superscript"/>
        </w:rPr>
        <w:t>1</w:t>
      </w:r>
      <w:r>
        <w:rPr>
          <w:rFonts w:ascii="Arial" w:hAnsi="Arial"/>
          <w:b/>
          <w:color w:val="FF0000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Sin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perjuicio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del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plazo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recomendado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anteriormente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para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los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nuevos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elaboradores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(molinos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y/o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envasadoras);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la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inscripción la podrán realizar en cualquier momento de la campaña 2022-2023, (salvo en el periodo del 1 de agosto al 31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de agosto, ambos incluidos, por ausencia del personal), y siempre con antelación suficiente al inicio de la actividad y/o</w:t>
      </w:r>
      <w:r>
        <w:rPr>
          <w:rFonts w:ascii="Arial" w:hAnsi="Arial"/>
          <w:i/>
          <w:spacing w:val="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producto</w:t>
      </w:r>
      <w:r>
        <w:rPr>
          <w:rFonts w:ascii="Arial" w:hAnsi="Arial"/>
          <w:i/>
          <w:spacing w:val="-1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que pretenda</w:t>
      </w:r>
      <w:r>
        <w:rPr>
          <w:rFonts w:ascii="Arial" w:hAnsi="Arial"/>
          <w:i/>
          <w:spacing w:val="-2"/>
          <w:sz w:val="16"/>
          <w:vertAlign w:val="baseline"/>
        </w:rPr>
        <w:t> </w:t>
      </w:r>
      <w:r>
        <w:rPr>
          <w:rFonts w:ascii="Arial" w:hAnsi="Arial"/>
          <w:i/>
          <w:sz w:val="16"/>
          <w:vertAlign w:val="baseline"/>
        </w:rPr>
        <w:t>elaborar y/o certificar</w:t>
      </w:r>
      <w:r>
        <w:rPr>
          <w:rFonts w:ascii="Arial" w:hAnsi="Arial"/>
          <w:i/>
          <w:sz w:val="18"/>
          <w:vertAlign w:val="baseline"/>
        </w:rPr>
        <w:t>.</w:t>
      </w:r>
    </w:p>
    <w:p>
      <w:pPr>
        <w:spacing w:after="0" w:line="261" w:lineRule="auto"/>
        <w:jc w:val="both"/>
        <w:rPr>
          <w:rFonts w:ascii="Arial" w:hAnsi="Arial"/>
          <w:sz w:val="18"/>
        </w:rPr>
        <w:sectPr>
          <w:type w:val="continuous"/>
          <w:pgSz w:w="11910" w:h="16840"/>
          <w:pgMar w:top="580" w:bottom="280" w:left="1460" w:right="1100"/>
        </w:sectPr>
      </w:pPr>
    </w:p>
    <w:p>
      <w:pPr>
        <w:pStyle w:val="Heading2"/>
        <w:spacing w:before="157"/>
      </w:pPr>
      <w:r>
        <w:rPr/>
        <w:t>II.-</w:t>
      </w:r>
      <w:r>
        <w:rPr>
          <w:spacing w:val="-2"/>
        </w:rPr>
        <w:t> </w:t>
      </w:r>
      <w:r>
        <w:rPr/>
        <w:t>CUOTAS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>
          <w:u w:val="single"/>
        </w:rPr>
        <w:t>CERTIFICACIÓN</w:t>
      </w:r>
    </w:p>
    <w:p>
      <w:pPr>
        <w:pStyle w:val="BodyText"/>
        <w:spacing w:before="7"/>
        <w:ind w:left="1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464996pt;margin-top:42.547264pt;width:73.850pt;height:17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28"/>
                    </w:rPr>
                  </w:pPr>
                  <w:r>
                    <w:rPr>
                      <w:rFonts w:ascii="Trebuchet MS"/>
                      <w:w w:val="95"/>
                      <w:sz w:val="28"/>
                    </w:rPr>
                    <w:t>Q3000217D)</w:t>
                  </w:r>
                </w:p>
              </w:txbxContent>
            </v:textbox>
            <w10:wrap type="none"/>
          </v:shape>
        </w:pict>
      </w:r>
      <w:r>
        <w:rPr/>
        <w:t>Según</w:t>
      </w:r>
      <w:r>
        <w:rPr>
          <w:spacing w:val="-2"/>
        </w:rPr>
        <w:t> </w:t>
      </w:r>
      <w:r>
        <w:rPr/>
        <w:t>tarifas vigentes</w:t>
      </w:r>
      <w:r>
        <w:rPr>
          <w:spacing w:val="2"/>
        </w:rPr>
        <w:t> </w:t>
      </w:r>
      <w:r>
        <w:rPr/>
        <w:t>(formato</w:t>
      </w:r>
      <w:r>
        <w:rPr>
          <w:spacing w:val="-1"/>
        </w:rPr>
        <w:t> </w:t>
      </w:r>
      <w:r>
        <w:rPr/>
        <w:t>T-00)</w:t>
      </w:r>
    </w:p>
    <w:p>
      <w:pPr>
        <w:pStyle w:val="Heading1"/>
        <w:spacing w:line="249" w:lineRule="auto" w:before="201"/>
        <w:ind w:left="100"/>
      </w:pPr>
      <w:r>
        <w:rPr/>
        <w:br w:type="column"/>
      </w:r>
      <w:r>
        <w:rPr>
          <w:w w:val="95"/>
        </w:rPr>
        <w:t>74397297W</w:t>
      </w:r>
      <w:r>
        <w:rPr>
          <w:spacing w:val="-78"/>
          <w:w w:val="95"/>
        </w:rPr>
        <w:t> </w:t>
      </w:r>
      <w:r>
        <w:rPr/>
        <w:t>PEDRO</w:t>
      </w:r>
      <w:r>
        <w:rPr>
          <w:spacing w:val="1"/>
        </w:rPr>
        <w:t> </w:t>
      </w:r>
      <w:r>
        <w:rPr>
          <w:w w:val="90"/>
        </w:rPr>
        <w:t>PIERNAS</w:t>
      </w:r>
      <w:r>
        <w:rPr>
          <w:spacing w:val="7"/>
          <w:w w:val="90"/>
        </w:rPr>
        <w:t> </w:t>
      </w:r>
      <w:r>
        <w:rPr>
          <w:w w:val="90"/>
        </w:rPr>
        <w:t>(R:</w:t>
      </w:r>
    </w:p>
    <w:p>
      <w:pPr>
        <w:pStyle w:val="BodyText"/>
        <w:spacing w:line="249" w:lineRule="auto" w:before="123"/>
        <w:ind w:left="70" w:right="2494"/>
        <w:rPr>
          <w:rFonts w:ascii="Trebuchet MS"/>
        </w:rPr>
      </w:pPr>
      <w:r>
        <w:rPr/>
        <w:br w:type="column"/>
      </w:r>
      <w:r>
        <w:rPr>
          <w:rFonts w:ascii="Trebuchet MS"/>
        </w:rPr>
        <w:t>Firmado</w:t>
      </w:r>
      <w:r>
        <w:rPr>
          <w:rFonts w:ascii="Trebuchet MS"/>
          <w:spacing w:val="1"/>
        </w:rPr>
        <w:t> </w:t>
      </w:r>
      <w:r>
        <w:rPr>
          <w:rFonts w:ascii="Trebuchet MS"/>
          <w:w w:val="90"/>
        </w:rPr>
        <w:t>digitalmente</w:t>
      </w:r>
      <w:r>
        <w:rPr>
          <w:rFonts w:ascii="Trebuchet MS"/>
          <w:spacing w:val="1"/>
          <w:w w:val="90"/>
        </w:rPr>
        <w:t> </w:t>
      </w:r>
      <w:r>
        <w:rPr>
          <w:rFonts w:ascii="Trebuchet MS"/>
          <w:w w:val="90"/>
        </w:rPr>
        <w:t>por</w:t>
      </w:r>
      <w:r>
        <w:rPr>
          <w:rFonts w:ascii="Trebuchet MS"/>
          <w:spacing w:val="1"/>
          <w:w w:val="90"/>
        </w:rPr>
        <w:t> </w:t>
      </w:r>
      <w:r>
        <w:rPr>
          <w:rFonts w:ascii="Trebuchet MS"/>
        </w:rPr>
        <w:t>74397297W</w:t>
      </w:r>
      <w:r>
        <w:rPr>
          <w:rFonts w:ascii="Trebuchet MS"/>
          <w:spacing w:val="1"/>
        </w:rPr>
        <w:t> </w:t>
      </w:r>
      <w:r>
        <w:rPr>
          <w:rFonts w:ascii="Trebuchet MS"/>
          <w:w w:val="90"/>
        </w:rPr>
        <w:t>PEDRO</w:t>
      </w:r>
      <w:r>
        <w:rPr>
          <w:rFonts w:ascii="Trebuchet MS"/>
          <w:spacing w:val="9"/>
          <w:w w:val="90"/>
        </w:rPr>
        <w:t> </w:t>
      </w:r>
      <w:r>
        <w:rPr>
          <w:rFonts w:ascii="Trebuchet MS"/>
          <w:w w:val="90"/>
        </w:rPr>
        <w:t>PIERNAS</w:t>
      </w:r>
      <w:r>
        <w:rPr>
          <w:rFonts w:ascii="Trebuchet MS"/>
          <w:spacing w:val="10"/>
          <w:w w:val="90"/>
        </w:rPr>
        <w:t> </w:t>
      </w:r>
      <w:r>
        <w:rPr>
          <w:rFonts w:ascii="Trebuchet MS"/>
          <w:w w:val="90"/>
        </w:rPr>
        <w:t>(R:</w:t>
      </w:r>
      <w:r>
        <w:rPr>
          <w:rFonts w:ascii="Trebuchet MS"/>
          <w:spacing w:val="-46"/>
          <w:w w:val="90"/>
        </w:rPr>
        <w:t> </w:t>
      </w:r>
      <w:r>
        <w:rPr>
          <w:rFonts w:ascii="Trebuchet MS"/>
        </w:rPr>
        <w:t>Q3000217D)</w:t>
      </w:r>
    </w:p>
    <w:p>
      <w:pPr>
        <w:spacing w:after="0" w:line="249" w:lineRule="auto"/>
        <w:rPr>
          <w:rFonts w:ascii="Trebuchet MS"/>
        </w:rPr>
        <w:sectPr>
          <w:type w:val="continuous"/>
          <w:pgSz w:w="11910" w:h="16840"/>
          <w:pgMar w:top="580" w:bottom="280" w:left="1460" w:right="1100"/>
          <w:cols w:num="3" w:equalWidth="0">
            <w:col w:w="3180" w:space="629"/>
            <w:col w:w="1498" w:space="39"/>
            <w:col w:w="4004"/>
          </w:cols>
        </w:sectPr>
      </w:pPr>
    </w:p>
    <w:p>
      <w:pPr>
        <w:pStyle w:val="BodyText"/>
        <w:spacing w:line="204" w:lineRule="exact"/>
        <w:ind w:left="5416"/>
        <w:rPr>
          <w:rFonts w:ascii="Trebuchet MS"/>
        </w:rPr>
      </w:pPr>
      <w:r>
        <w:rPr>
          <w:rFonts w:ascii="Trebuchet MS"/>
          <w:w w:val="90"/>
        </w:rPr>
        <w:t>Fecha:</w:t>
      </w:r>
      <w:r>
        <w:rPr>
          <w:rFonts w:ascii="Trebuchet MS"/>
          <w:spacing w:val="-5"/>
          <w:w w:val="90"/>
        </w:rPr>
        <w:t> </w:t>
      </w:r>
      <w:r>
        <w:rPr>
          <w:rFonts w:ascii="Trebuchet MS"/>
          <w:w w:val="90"/>
        </w:rPr>
        <w:t>2022.05.30</w:t>
      </w:r>
    </w:p>
    <w:p>
      <w:pPr>
        <w:pStyle w:val="BodyText"/>
        <w:spacing w:before="7"/>
        <w:ind w:left="5416"/>
        <w:rPr>
          <w:rFonts w:ascii="Trebuchet MS"/>
        </w:rPr>
      </w:pPr>
      <w:r>
        <w:rPr>
          <w:rFonts w:ascii="Trebuchet MS"/>
          <w:w w:val="95"/>
        </w:rPr>
        <w:t>09:36:28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+02'00'</w:t>
      </w:r>
    </w:p>
    <w:p>
      <w:pPr>
        <w:pStyle w:val="BodyText"/>
        <w:spacing w:before="6"/>
        <w:rPr>
          <w:rFonts w:ascii="Trebuchet MS"/>
          <w:sz w:val="21"/>
        </w:rPr>
      </w:pPr>
    </w:p>
    <w:p>
      <w:pPr>
        <w:pStyle w:val="BodyText"/>
        <w:spacing w:line="264" w:lineRule="auto"/>
        <w:ind w:left="4836" w:right="2550" w:hanging="351"/>
      </w:pPr>
      <w:r>
        <w:rPr/>
        <w:t>Totana, 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</w:t>
      </w:r>
      <w:r>
        <w:rPr>
          <w:spacing w:val="-45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DOP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42" w:right="588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NOTA: todo de acuerdo con lo previsto en el Reglamento de la DOP, en el Manual de Calidad y el Pliego de Condiciones y las tarifas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certificación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otros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documentos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previstos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el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sistema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calidad.</w:t>
      </w:r>
    </w:p>
    <w:sectPr>
      <w:type w:val="continuous"/>
      <w:pgSz w:w="11910" w:h="16840"/>
      <w:pgMar w:top="580" w:bottom="280" w:left="14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outlineLvl w:val="1"/>
    </w:pPr>
    <w:rPr>
      <w:rFonts w:ascii="Trebuchet MS" w:hAnsi="Trebuchet MS" w:eastAsia="Trebuchet MS" w:cs="Trebuchet MS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TECNICO16</dc:creator>
  <dcterms:created xsi:type="dcterms:W3CDTF">2022-06-03T00:13:15Z</dcterms:created>
  <dcterms:modified xsi:type="dcterms:W3CDTF">2022-06-03T00:13:15Z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